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Pr="005B007D" w:rsidRDefault="00F559FA" w:rsidP="00F80BEE">
      <w:pPr>
        <w:spacing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Lower</w:t>
      </w:r>
      <w:r w:rsidRPr="005B007D">
        <w:rPr>
          <w:rFonts w:ascii="Times New Roman" w:eastAsia="Times New Roman" w:hAnsi="Times New Roman" w:cs="Times New Roman"/>
          <w:b/>
          <w:bCs/>
          <w:color w:val="000000" w:themeColor="text1"/>
          <w:sz w:val="24"/>
          <w:szCs w:val="24"/>
        </w:rPr>
        <w:t xml:space="preserve"> Back Pain</w:t>
      </w:r>
    </w:p>
    <w:p w:rsidR="00F80BEE" w:rsidRDefault="00F559FA" w:rsidP="00F80BE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F80BEE" w:rsidRDefault="00F559FA" w:rsidP="00F80BE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F80BEE" w:rsidRDefault="00F559FA" w:rsidP="00F80BE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F80BEE" w:rsidRDefault="00F80BEE" w:rsidP="00F80BEE">
      <w:pPr>
        <w:jc w:val="cente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F80BEE" w:rsidRDefault="00F80BEE">
      <w:pPr>
        <w:rPr>
          <w:b/>
          <w:bCs/>
        </w:rPr>
      </w:pPr>
    </w:p>
    <w:p w:rsidR="00C62EDB" w:rsidRPr="00F80BEE" w:rsidRDefault="00F559FA" w:rsidP="00F80BEE">
      <w:pPr>
        <w:spacing w:before="100" w:beforeAutospacing="1" w:after="100" w:afterAutospacing="1" w:line="480" w:lineRule="auto"/>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lastRenderedPageBreak/>
        <w:t>Case Study: Lower Back Pain</w:t>
      </w:r>
    </w:p>
    <w:p w:rsidR="00C62EDB" w:rsidRPr="00F80BEE" w:rsidRDefault="00F559FA" w:rsidP="00F80BEE">
      <w:pPr>
        <w:spacing w:before="100" w:beforeAutospacing="1" w:after="100" w:afterAutospacing="1" w:line="480" w:lineRule="auto"/>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History</w:t>
      </w:r>
    </w:p>
    <w:p w:rsidR="00C62EDB"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Patient Information: T.S is a 33 years old male patient</w:t>
      </w:r>
    </w:p>
    <w:p w:rsidR="00C62EDB"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Chief complaint: the patient presents with a complaint of lower back pain which has been there for one week. </w:t>
      </w:r>
    </w:p>
    <w:p w:rsidR="00C62EDB"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History of present Illness: the patient states that he was </w:t>
      </w:r>
      <w:r w:rsidR="00373278" w:rsidRPr="00F80BEE">
        <w:rPr>
          <w:rFonts w:ascii="Times New Roman" w:hAnsi="Times New Roman" w:cs="Times New Roman"/>
          <w:color w:val="000000" w:themeColor="text1"/>
          <w:sz w:val="24"/>
          <w:szCs w:val="24"/>
        </w:rPr>
        <w:t>remodeling</w:t>
      </w:r>
      <w:r w:rsidRPr="00F80BEE">
        <w:rPr>
          <w:rFonts w:ascii="Times New Roman" w:hAnsi="Times New Roman" w:cs="Times New Roman"/>
          <w:color w:val="000000" w:themeColor="text1"/>
          <w:sz w:val="24"/>
          <w:szCs w:val="24"/>
        </w:rPr>
        <w:t xml:space="preserve"> her house and felt a sharp pain on his back after </w:t>
      </w:r>
      <w:r w:rsidR="0054688C" w:rsidRPr="00F80BEE">
        <w:rPr>
          <w:rFonts w:ascii="Times New Roman" w:hAnsi="Times New Roman" w:cs="Times New Roman"/>
          <w:color w:val="000000" w:themeColor="text1"/>
          <w:sz w:val="24"/>
          <w:szCs w:val="24"/>
        </w:rPr>
        <w:t xml:space="preserve">moving one of his couches. The pain was reported to be on a range of 5/10. The worsening factor of the pain is sitting </w:t>
      </w:r>
      <w:r w:rsidR="00373278" w:rsidRPr="00F80BEE">
        <w:rPr>
          <w:rFonts w:ascii="Times New Roman" w:hAnsi="Times New Roman" w:cs="Times New Roman"/>
          <w:color w:val="000000" w:themeColor="text1"/>
          <w:sz w:val="24"/>
          <w:szCs w:val="24"/>
        </w:rPr>
        <w:t>down</w:t>
      </w:r>
      <w:r w:rsidR="0054688C" w:rsidRPr="00F80BEE">
        <w:rPr>
          <w:rFonts w:ascii="Times New Roman" w:hAnsi="Times New Roman" w:cs="Times New Roman"/>
          <w:color w:val="000000" w:themeColor="text1"/>
          <w:sz w:val="24"/>
          <w:szCs w:val="24"/>
        </w:rPr>
        <w:t xml:space="preserve"> for too long. </w:t>
      </w:r>
    </w:p>
    <w:p w:rsidR="0054688C"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Allergies: the patient is not allergic to any medication or food. </w:t>
      </w:r>
    </w:p>
    <w:p w:rsidR="0054688C"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Past medical history: the patient does not have any history of medical condition in the past. </w:t>
      </w:r>
    </w:p>
    <w:p w:rsidR="0054688C"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Medication history: He is not under any medication.</w:t>
      </w:r>
    </w:p>
    <w:p w:rsidR="0054688C"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Surgical history: no history of minor or major surgery.</w:t>
      </w:r>
    </w:p>
    <w:p w:rsidR="0054688C"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Family: there is absent of history of chronic or genetic diseases in the family.</w:t>
      </w:r>
    </w:p>
    <w:p w:rsidR="0054688C"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Social history: the patient smokes cigarettes intermittently approximately half a packet per week. Denies the intake of alcohol and other illicit drugs.</w:t>
      </w:r>
    </w:p>
    <w:p w:rsidR="0054688C" w:rsidRPr="00F80BEE" w:rsidRDefault="00F559FA" w:rsidP="00F80BEE">
      <w:pPr>
        <w:spacing w:before="100" w:beforeAutospacing="1" w:after="100" w:afterAutospacing="1" w:line="480" w:lineRule="auto"/>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Review of Systems</w:t>
      </w:r>
    </w:p>
    <w:p w:rsidR="0054688C"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Constitutional: no weight loss, no fever, no fatigue or weakness, no distress</w:t>
      </w:r>
    </w:p>
    <w:p w:rsidR="0054688C"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Skin: no hair or change in nails, no pruritis, no itching, no rashes.</w:t>
      </w:r>
    </w:p>
    <w:p w:rsidR="0054688C"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lastRenderedPageBreak/>
        <w:t xml:space="preserve">HEENT: no headache, no lightheadedness, no dizziness; no tearing, no double vision, no blurred vision; no tinnitus, no hearing loss, no pain on the ears; no abnormal discharge, no nasal blockage; no </w:t>
      </w:r>
      <w:r w:rsidR="00373278" w:rsidRPr="00F80BEE">
        <w:rPr>
          <w:rFonts w:ascii="Times New Roman" w:hAnsi="Times New Roman" w:cs="Times New Roman"/>
          <w:color w:val="000000" w:themeColor="text1"/>
          <w:sz w:val="24"/>
          <w:szCs w:val="24"/>
        </w:rPr>
        <w:t>lymph edema</w:t>
      </w:r>
      <w:r w:rsidR="0086046A" w:rsidRPr="00F80BEE">
        <w:rPr>
          <w:rFonts w:ascii="Times New Roman" w:hAnsi="Times New Roman" w:cs="Times New Roman"/>
          <w:color w:val="000000" w:themeColor="text1"/>
          <w:sz w:val="24"/>
          <w:szCs w:val="24"/>
        </w:rPr>
        <w:t>, no stiffness of the neck;</w:t>
      </w:r>
      <w:r w:rsidRPr="00F80BEE">
        <w:rPr>
          <w:rFonts w:ascii="Times New Roman" w:hAnsi="Times New Roman" w:cs="Times New Roman"/>
          <w:color w:val="000000" w:themeColor="text1"/>
          <w:sz w:val="24"/>
          <w:szCs w:val="24"/>
        </w:rPr>
        <w:t xml:space="preserve"> no hoarseness or soreness of throat.</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Cardiovascular: no pain on the chest, no palpitations.</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Respiration: no coughing, no breathing difficulty, no wheezing.</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Gastrointestinal: no </w:t>
      </w:r>
      <w:r w:rsidR="00373278" w:rsidRPr="00F80BEE">
        <w:rPr>
          <w:rFonts w:ascii="Times New Roman" w:hAnsi="Times New Roman" w:cs="Times New Roman"/>
          <w:color w:val="000000" w:themeColor="text1"/>
          <w:sz w:val="24"/>
          <w:szCs w:val="24"/>
        </w:rPr>
        <w:t>diarrhea</w:t>
      </w:r>
      <w:r w:rsidRPr="00F80BEE">
        <w:rPr>
          <w:rFonts w:ascii="Times New Roman" w:hAnsi="Times New Roman" w:cs="Times New Roman"/>
          <w:color w:val="000000" w:themeColor="text1"/>
          <w:sz w:val="24"/>
          <w:szCs w:val="24"/>
        </w:rPr>
        <w:t>, no vomiting, no abdominal pain, appetite is good.</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Genitourinary: no hematuria, no dysuria, no abnormal discharge</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Musculoskeletal system: lower back pain present, no joint pain, no history of degenerative condition.</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Neurological: no headache, seizure, tremors, numbness or tingling sensations</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Endocrine: the patient is not obese, no history of polydipsia, polyphagia or polyuria.</w:t>
      </w:r>
    </w:p>
    <w:p w:rsidR="0086046A" w:rsidRPr="00F80BEE" w:rsidRDefault="00373278"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Hematological</w:t>
      </w:r>
      <w:r w:rsidR="00F559FA" w:rsidRPr="00F80BEE">
        <w:rPr>
          <w:rFonts w:ascii="Times New Roman" w:hAnsi="Times New Roman" w:cs="Times New Roman"/>
          <w:color w:val="000000" w:themeColor="text1"/>
          <w:sz w:val="24"/>
          <w:szCs w:val="24"/>
        </w:rPr>
        <w:t xml:space="preserve">: no bruising or </w:t>
      </w:r>
      <w:r w:rsidRPr="00F80BEE">
        <w:rPr>
          <w:rFonts w:ascii="Times New Roman" w:hAnsi="Times New Roman" w:cs="Times New Roman"/>
          <w:color w:val="000000" w:themeColor="text1"/>
          <w:sz w:val="24"/>
          <w:szCs w:val="24"/>
        </w:rPr>
        <w:t>anemia</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Psychiatry: no insomnia, anxiety or mood swings.</w:t>
      </w:r>
    </w:p>
    <w:p w:rsidR="0086046A" w:rsidRPr="00F80BEE" w:rsidRDefault="00F559FA" w:rsidP="00F80BEE">
      <w:pPr>
        <w:spacing w:before="100" w:beforeAutospacing="1" w:after="100" w:afterAutospacing="1" w:line="480" w:lineRule="auto"/>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Physical Examination</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General Survey: the patient is alert, oriented to time, place and self with no signs of distress.</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Vital signs: blood pressure 126/85 mmHg, temperature 89 F, pulse rate 75 beats per minute, respiration, 21 breaths per minute, height 6” inch, weight 160 lbs, and BMI 21.</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Skin: skin is moist, warm and intact with no rashes.</w:t>
      </w:r>
    </w:p>
    <w:p w:rsidR="0086046A"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lastRenderedPageBreak/>
        <w:t xml:space="preserve">HEENT: normocephalic head, hair distribution is normal, no masses, no scars or lesions; eyes are normal with no ptosis, bleeding, abnormal discharge or </w:t>
      </w:r>
      <w:r w:rsidR="00556029" w:rsidRPr="00F80BEE">
        <w:rPr>
          <w:rFonts w:ascii="Times New Roman" w:hAnsi="Times New Roman" w:cs="Times New Roman"/>
          <w:color w:val="000000" w:themeColor="text1"/>
          <w:sz w:val="24"/>
          <w:szCs w:val="24"/>
        </w:rPr>
        <w:t>conjunctivitis; no lesions in the ears, no discharge, minimal cerumen; the nose is clear, the mucosa is pink without bogginess; the neck is not tender or stiff, the thyroid is not inflamed; throat is clear, no swellings, the mucosa is pink and moist.</w:t>
      </w:r>
    </w:p>
    <w:p w:rsidR="00556029"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Cardiovascular: heart rhythm is regular, no heaves, no thrills, S1 and S2 are normal, no murmurs.</w:t>
      </w:r>
    </w:p>
    <w:p w:rsidR="00556029"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Respiration: expansion of chest is symmetrical, no abnormal sounds.</w:t>
      </w:r>
    </w:p>
    <w:p w:rsidR="00556029"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Gastrointestinal: no distention of the abdomen, no organomegaly.</w:t>
      </w:r>
    </w:p>
    <w:p w:rsidR="00556029"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Genitourinary: normal penis, no swelling or scrotal masses. </w:t>
      </w:r>
    </w:p>
    <w:p w:rsidR="00556029"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Extremities: are symmetrical, no cyanosis, no oedema, pulses are present and good.</w:t>
      </w:r>
    </w:p>
    <w:p w:rsidR="00556029"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Neurologic: patient alert, no confusion, reflexes and gait are good. </w:t>
      </w:r>
    </w:p>
    <w:p w:rsidR="00C62EDB" w:rsidRPr="00F80BEE" w:rsidRDefault="00F559FA" w:rsidP="00F80BEE">
      <w:pPr>
        <w:spacing w:before="100" w:beforeAutospacing="1" w:after="100" w:afterAutospacing="1" w:line="480" w:lineRule="auto"/>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Hematologic: no bleeding or anaemia.</w:t>
      </w:r>
    </w:p>
    <w:p w:rsidR="00AD673D" w:rsidRPr="00F80BEE" w:rsidRDefault="00F559FA" w:rsidP="00F80BEE">
      <w:pPr>
        <w:spacing w:before="100" w:beforeAutospacing="1" w:after="100" w:afterAutospacing="1" w:line="480" w:lineRule="auto"/>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Assessment</w:t>
      </w:r>
    </w:p>
    <w:p w:rsidR="00AD673D" w:rsidRPr="00F80BEE" w:rsidRDefault="00F559FA" w:rsidP="00F80BEE">
      <w:pPr>
        <w:spacing w:before="100" w:beforeAutospacing="1" w:after="100" w:afterAutospacing="1" w:line="480" w:lineRule="auto"/>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Primary Diagnosis: Lower Back Pain</w:t>
      </w:r>
    </w:p>
    <w:p w:rsidR="00AD673D" w:rsidRPr="00F80BEE" w:rsidRDefault="00F559FA" w:rsidP="00F80BEE">
      <w:pPr>
        <w:spacing w:before="100" w:beforeAutospacing="1" w:after="100" w:afterAutospacing="1" w:line="480" w:lineRule="auto"/>
        <w:ind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The complaint of the patient involves lower back pain that has lasted for a week. The pain worsens when the patient sits down for too long.  Low back pain is the common cause of disability which is related to work. Lower back pain is mostly caused by poor mechanics and sudden mobilities which leads to results in strains, especially while lifting heavy objects</w:t>
      </w:r>
      <w:r w:rsidR="005037F4" w:rsidRPr="00F80BEE">
        <w:rPr>
          <w:rFonts w:ascii="Times New Roman" w:hAnsi="Times New Roman" w:cs="Times New Roman"/>
          <w:color w:val="000000" w:themeColor="text1"/>
          <w:sz w:val="24"/>
          <w:szCs w:val="24"/>
        </w:rPr>
        <w:t xml:space="preserve"> (Allegri et al., 2016)</w:t>
      </w:r>
      <w:r w:rsidRPr="00F80BEE">
        <w:rPr>
          <w:rFonts w:ascii="Times New Roman" w:hAnsi="Times New Roman" w:cs="Times New Roman"/>
          <w:color w:val="000000" w:themeColor="text1"/>
          <w:sz w:val="24"/>
          <w:szCs w:val="24"/>
        </w:rPr>
        <w:t xml:space="preserve">. Acute pain lasts for days or weeks, while chronic pain lasts more than </w:t>
      </w:r>
      <w:r w:rsidRPr="00F80BEE">
        <w:rPr>
          <w:rFonts w:ascii="Times New Roman" w:hAnsi="Times New Roman" w:cs="Times New Roman"/>
          <w:color w:val="000000" w:themeColor="text1"/>
          <w:sz w:val="24"/>
          <w:szCs w:val="24"/>
        </w:rPr>
        <w:lastRenderedPageBreak/>
        <w:t>three months. The changes that occur in the body with ageing is what is associated with cases of lower back pain.</w:t>
      </w:r>
    </w:p>
    <w:p w:rsidR="00AD673D" w:rsidRPr="00F80BEE" w:rsidRDefault="00F559FA" w:rsidP="00F80BEE">
      <w:pPr>
        <w:spacing w:before="100" w:beforeAutospacing="1" w:after="100" w:afterAutospacing="1" w:line="480" w:lineRule="auto"/>
        <w:ind w:firstLine="851"/>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Pathophysiology</w:t>
      </w:r>
    </w:p>
    <w:p w:rsidR="00AD673D" w:rsidRPr="00F80BEE" w:rsidRDefault="00F559FA" w:rsidP="00F80BEE">
      <w:pPr>
        <w:spacing w:before="100" w:beforeAutospacing="1" w:after="100" w:afterAutospacing="1" w:line="480" w:lineRule="auto"/>
        <w:ind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The portion of the axial structure (caudal flexible) supports the internal systems of the body and extremities. The basis of the spine is developed from the sacrum. The lumbar spine can provide support for heavy loads. Lordosis provides resistance for the anterior gravitational mobility. The lumbar spine is lateral </w:t>
      </w:r>
      <w:r w:rsidR="00CD2E6D" w:rsidRPr="00F80BEE">
        <w:rPr>
          <w:rFonts w:ascii="Times New Roman" w:hAnsi="Times New Roman" w:cs="Times New Roman"/>
          <w:color w:val="000000" w:themeColor="text1"/>
          <w:sz w:val="24"/>
          <w:szCs w:val="24"/>
        </w:rPr>
        <w:t>and</w:t>
      </w:r>
      <w:r w:rsidRPr="00F80BEE">
        <w:rPr>
          <w:rFonts w:ascii="Times New Roman" w:hAnsi="Times New Roman" w:cs="Times New Roman"/>
          <w:color w:val="000000" w:themeColor="text1"/>
          <w:sz w:val="24"/>
          <w:szCs w:val="24"/>
        </w:rPr>
        <w:t xml:space="preserve"> provides movements for sagittal and coronal planes. </w:t>
      </w:r>
      <w:r w:rsidR="00CD2E6D" w:rsidRPr="00F80BEE">
        <w:rPr>
          <w:rFonts w:ascii="Times New Roman" w:hAnsi="Times New Roman" w:cs="Times New Roman"/>
          <w:color w:val="000000" w:themeColor="text1"/>
          <w:sz w:val="24"/>
          <w:szCs w:val="24"/>
        </w:rPr>
        <w:t>Vertebrae provide transmission for loads through the spine. When there are compressions within these structures, the perception of pain is enhanced</w:t>
      </w:r>
      <w:r w:rsidR="00B7258A" w:rsidRPr="00F80BEE">
        <w:rPr>
          <w:rFonts w:ascii="Times New Roman" w:hAnsi="Times New Roman" w:cs="Times New Roman"/>
          <w:color w:val="000000" w:themeColor="text1"/>
          <w:sz w:val="24"/>
          <w:szCs w:val="24"/>
        </w:rPr>
        <w:t xml:space="preserve"> (Allegri et al., 2016)</w:t>
      </w:r>
      <w:r w:rsidR="00CD2E6D" w:rsidRPr="00F80BEE">
        <w:rPr>
          <w:rFonts w:ascii="Times New Roman" w:hAnsi="Times New Roman" w:cs="Times New Roman"/>
          <w:color w:val="000000" w:themeColor="text1"/>
          <w:sz w:val="24"/>
          <w:szCs w:val="24"/>
        </w:rPr>
        <w:t xml:space="preserve">. The intervertebral disks consist of an inner nucleus and annulus fibrosis. The outer part consists of nociceptors and proprioceptive nerve endings which enhances pain perception when there are compressions or strains. Repeated eccentric loads and torsions enhance circumferential and radial tears in the annular fibres. Additional loss occurs through hydration through the separation of the annular fibres. When an individual is young, 90% of the weight in the trio joint complex is perceived over the posterior third of the disc. As there is the diminished height of the disk, the load shifts to the posterior segment and facet joints experience increased distribution of weight. More so, the hypertrophy of the bone enhances the narrowing of the central and foraminal canal. Hence, the neuro-compression occurs due to diminished potency of the foramen and anteroposterior diameter. Also, in the early phase of disk degeneration, lower back pain is common. </w:t>
      </w:r>
      <w:r w:rsidR="000836D7" w:rsidRPr="00F80BEE">
        <w:rPr>
          <w:rFonts w:ascii="Times New Roman" w:hAnsi="Times New Roman" w:cs="Times New Roman"/>
          <w:color w:val="000000" w:themeColor="text1"/>
          <w:sz w:val="24"/>
          <w:szCs w:val="24"/>
        </w:rPr>
        <w:t>Diminished rate of healing in the disk enhances inadequate blood supply which leads to the chronic perception of pain</w:t>
      </w:r>
      <w:r w:rsidR="00B7258A" w:rsidRPr="00F80BEE">
        <w:rPr>
          <w:rFonts w:ascii="Times New Roman" w:hAnsi="Times New Roman" w:cs="Times New Roman"/>
          <w:color w:val="000000" w:themeColor="text1"/>
          <w:sz w:val="24"/>
          <w:szCs w:val="24"/>
        </w:rPr>
        <w:t xml:space="preserve"> (</w:t>
      </w:r>
      <w:r w:rsidR="00B7258A" w:rsidRPr="00F80BEE">
        <w:rPr>
          <w:rFonts w:ascii="Times New Roman" w:hAnsi="Times New Roman" w:cs="Times New Roman"/>
          <w:color w:val="000000" w:themeColor="text1"/>
          <w:sz w:val="24"/>
          <w:szCs w:val="24"/>
          <w:shd w:val="clear" w:color="auto" w:fill="FFFFFF"/>
        </w:rPr>
        <w:t>Husky et al., 2018)</w:t>
      </w:r>
      <w:r w:rsidR="000836D7" w:rsidRPr="00F80BEE">
        <w:rPr>
          <w:rFonts w:ascii="Times New Roman" w:hAnsi="Times New Roman" w:cs="Times New Roman"/>
          <w:color w:val="000000" w:themeColor="text1"/>
          <w:sz w:val="24"/>
          <w:szCs w:val="24"/>
        </w:rPr>
        <w:t xml:space="preserve">. Various conditions are linked to lower back pain. Sciatica is one of the conditions which occurs when the disk is herniated and presses the sciatic nerve. Spinal stenosis is another condition which occurs when the spinal column is narrow, putting pressure on the </w:t>
      </w:r>
      <w:r w:rsidR="000836D7" w:rsidRPr="00F80BEE">
        <w:rPr>
          <w:rFonts w:ascii="Times New Roman" w:hAnsi="Times New Roman" w:cs="Times New Roman"/>
          <w:color w:val="000000" w:themeColor="text1"/>
          <w:sz w:val="24"/>
          <w:szCs w:val="24"/>
        </w:rPr>
        <w:lastRenderedPageBreak/>
        <w:t>spinal nerves and spinal cord. Abnormal spine curvatures such as lordosis, kyphosis and scoliosis lead to an abnormal curvature of the spine. Other conditions such as spondylosis, fibromyalgia and arthritis lead to lower back pain.</w:t>
      </w:r>
    </w:p>
    <w:p w:rsidR="0090436E" w:rsidRPr="00F80BEE" w:rsidRDefault="00F559FA" w:rsidP="00F80BEE">
      <w:pPr>
        <w:spacing w:before="100" w:beforeAutospacing="1" w:after="100" w:afterAutospacing="1" w:line="480" w:lineRule="auto"/>
        <w:ind w:firstLine="851"/>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Differential Diagnosis</w:t>
      </w:r>
    </w:p>
    <w:p w:rsidR="0090436E" w:rsidRPr="00F80BEE" w:rsidRDefault="00F559FA" w:rsidP="00F80BEE">
      <w:pPr>
        <w:pStyle w:val="ListParagraph"/>
        <w:numPr>
          <w:ilvl w:val="0"/>
          <w:numId w:val="1"/>
        </w:numPr>
        <w:spacing w:before="100" w:beforeAutospacing="1" w:after="100" w:afterAutospacing="1" w:line="480" w:lineRule="auto"/>
        <w:ind w:left="0"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Back sprain- itinvolves an injury that occurs to the muscles, ligaments or tendons of the back. The presence of stretch to the lumbar structures on the back leads to </w:t>
      </w:r>
      <w:r w:rsidR="00A34CA6" w:rsidRPr="00F80BEE">
        <w:rPr>
          <w:rFonts w:ascii="Times New Roman" w:hAnsi="Times New Roman" w:cs="Times New Roman"/>
          <w:color w:val="000000" w:themeColor="text1"/>
          <w:sz w:val="24"/>
          <w:szCs w:val="24"/>
        </w:rPr>
        <w:t>tears which vary in degree of injury. The strain is considered as the most common cause of back pain. The injury happens following trauma, improper use and overuse of muscles of the lumbar region</w:t>
      </w:r>
      <w:r w:rsidR="00CC5675" w:rsidRPr="00F80BEE">
        <w:rPr>
          <w:rFonts w:ascii="Times New Roman" w:hAnsi="Times New Roman" w:cs="Times New Roman"/>
          <w:color w:val="000000" w:themeColor="text1"/>
          <w:sz w:val="24"/>
          <w:szCs w:val="24"/>
        </w:rPr>
        <w:t xml:space="preserve"> (</w:t>
      </w:r>
      <w:r w:rsidR="00CC5675" w:rsidRPr="00F80BEE">
        <w:rPr>
          <w:rFonts w:ascii="Times New Roman" w:hAnsi="Times New Roman" w:cs="Times New Roman"/>
          <w:color w:val="000000" w:themeColor="text1"/>
          <w:sz w:val="24"/>
          <w:szCs w:val="24"/>
          <w:shd w:val="clear" w:color="auto" w:fill="FFFFFF"/>
        </w:rPr>
        <w:t>Almeida &amp;Kraychete, 2020)</w:t>
      </w:r>
      <w:r w:rsidR="00A34CA6" w:rsidRPr="00F80BEE">
        <w:rPr>
          <w:rFonts w:ascii="Times New Roman" w:hAnsi="Times New Roman" w:cs="Times New Roman"/>
          <w:color w:val="000000" w:themeColor="text1"/>
          <w:sz w:val="24"/>
          <w:szCs w:val="24"/>
        </w:rPr>
        <w:t xml:space="preserve">. Lumbar strains occur among most people who are in their forties; however, it can also occur at any age. The pain occurs when the tissues of the lumbar region are put under stress. The diagnosis of lumbar strain is one of the differential </w:t>
      </w:r>
      <w:r w:rsidR="00373278" w:rsidRPr="00F80BEE">
        <w:rPr>
          <w:rFonts w:ascii="Times New Roman" w:hAnsi="Times New Roman" w:cs="Times New Roman"/>
          <w:color w:val="000000" w:themeColor="text1"/>
          <w:sz w:val="24"/>
          <w:szCs w:val="24"/>
        </w:rPr>
        <w:t>diagnoses</w:t>
      </w:r>
      <w:r w:rsidR="00A34CA6" w:rsidRPr="00F80BEE">
        <w:rPr>
          <w:rFonts w:ascii="Times New Roman" w:hAnsi="Times New Roman" w:cs="Times New Roman"/>
          <w:color w:val="000000" w:themeColor="text1"/>
          <w:sz w:val="24"/>
          <w:szCs w:val="24"/>
        </w:rPr>
        <w:t xml:space="preserve"> for the patient because of its occurrence is associated with activities. However, the worsening of the pain during sitting excludes it as an actual diagnosis for the patient. </w:t>
      </w:r>
    </w:p>
    <w:p w:rsidR="00DF728C" w:rsidRPr="00F80BEE" w:rsidRDefault="00F559FA" w:rsidP="00F80BEE">
      <w:pPr>
        <w:pStyle w:val="ListParagraph"/>
        <w:numPr>
          <w:ilvl w:val="0"/>
          <w:numId w:val="1"/>
        </w:numPr>
        <w:spacing w:before="100" w:beforeAutospacing="1" w:after="100" w:afterAutospacing="1" w:line="480" w:lineRule="auto"/>
        <w:ind w:left="0"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Sciatica</w:t>
      </w:r>
      <w:r w:rsidR="00A34CA6" w:rsidRPr="00F80BEE">
        <w:rPr>
          <w:rFonts w:ascii="Times New Roman" w:hAnsi="Times New Roman" w:cs="Times New Roman"/>
          <w:color w:val="000000" w:themeColor="text1"/>
          <w:sz w:val="24"/>
          <w:szCs w:val="24"/>
        </w:rPr>
        <w:t xml:space="preserve">- the condition involves a narrowing of the spinal spaces, which puts pressure on the </w:t>
      </w:r>
      <w:r w:rsidRPr="00F80BEE">
        <w:rPr>
          <w:rFonts w:ascii="Times New Roman" w:hAnsi="Times New Roman" w:cs="Times New Roman"/>
          <w:color w:val="000000" w:themeColor="text1"/>
          <w:sz w:val="24"/>
          <w:szCs w:val="24"/>
        </w:rPr>
        <w:t>sciatic nerve</w:t>
      </w:r>
      <w:r w:rsidR="00A34CA6" w:rsidRPr="00F80BEE">
        <w:rPr>
          <w:rFonts w:ascii="Times New Roman" w:hAnsi="Times New Roman" w:cs="Times New Roman"/>
          <w:color w:val="000000" w:themeColor="text1"/>
          <w:sz w:val="24"/>
          <w:szCs w:val="24"/>
        </w:rPr>
        <w:t>. The condition is associated mostly with the lower back and the neck. The disease is associated with muscle weakness, numbness, pain and tingling sensation, which worsen over time. It is a common cause of wear and tears in the spine linked osteoarthritis. The symptoms for the condition in the patient with lower back pain include back pain, cramping or pain in both or one leg, weakness of the legs, and tingling sensations on foot. The patient does not qualify to have spinal s</w:t>
      </w:r>
      <w:r w:rsidRPr="00F80BEE">
        <w:rPr>
          <w:rFonts w:ascii="Times New Roman" w:hAnsi="Times New Roman" w:cs="Times New Roman"/>
          <w:color w:val="000000" w:themeColor="text1"/>
          <w:sz w:val="24"/>
          <w:szCs w:val="24"/>
        </w:rPr>
        <w:t>ciatica</w:t>
      </w:r>
      <w:r w:rsidR="00A34CA6" w:rsidRPr="00F80BEE">
        <w:rPr>
          <w:rFonts w:ascii="Times New Roman" w:hAnsi="Times New Roman" w:cs="Times New Roman"/>
          <w:color w:val="000000" w:themeColor="text1"/>
          <w:sz w:val="24"/>
          <w:szCs w:val="24"/>
        </w:rPr>
        <w:t xml:space="preserve"> the actual diagnosis because of the absence of tingling sensations of the foot. However, it can be confirmed through the use of imaging tests such as </w:t>
      </w:r>
      <w:r w:rsidRPr="00F80BEE">
        <w:rPr>
          <w:rFonts w:ascii="Times New Roman" w:hAnsi="Times New Roman" w:cs="Times New Roman"/>
          <w:color w:val="000000" w:themeColor="text1"/>
          <w:sz w:val="24"/>
          <w:szCs w:val="24"/>
        </w:rPr>
        <w:t>X-rays, and CT scans.</w:t>
      </w:r>
    </w:p>
    <w:p w:rsidR="00DF728C" w:rsidRPr="00F80BEE" w:rsidRDefault="00F559FA" w:rsidP="00F80BEE">
      <w:pPr>
        <w:pStyle w:val="ListParagraph"/>
        <w:numPr>
          <w:ilvl w:val="0"/>
          <w:numId w:val="1"/>
        </w:numPr>
        <w:spacing w:before="100" w:beforeAutospacing="1" w:after="100" w:afterAutospacing="1" w:line="480" w:lineRule="auto"/>
        <w:ind w:left="0"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lastRenderedPageBreak/>
        <w:t>Herniated disks- this condition occurs when the disks which are in the middle of the bones have torn annulus. The herniated disks can lead to irritation of the nerves that are in the nearby. The symptoms associated with the herniated disks include weakness, tingling and numbness and leg or arm pain</w:t>
      </w:r>
      <w:r w:rsidR="00CC5675" w:rsidRPr="00F80BEE">
        <w:rPr>
          <w:rFonts w:ascii="Times New Roman" w:hAnsi="Times New Roman" w:cs="Times New Roman"/>
          <w:color w:val="000000" w:themeColor="text1"/>
          <w:sz w:val="24"/>
          <w:szCs w:val="24"/>
        </w:rPr>
        <w:t xml:space="preserve"> (</w:t>
      </w:r>
      <w:r w:rsidR="00CC5675" w:rsidRPr="00F80BEE">
        <w:rPr>
          <w:rFonts w:ascii="Times New Roman" w:hAnsi="Times New Roman" w:cs="Times New Roman"/>
          <w:color w:val="000000" w:themeColor="text1"/>
          <w:sz w:val="24"/>
          <w:szCs w:val="24"/>
          <w:shd w:val="clear" w:color="auto" w:fill="FFFFFF"/>
        </w:rPr>
        <w:t>Almeida &amp;Kraychete, 2020)</w:t>
      </w:r>
      <w:r w:rsidRPr="00F80BEE">
        <w:rPr>
          <w:rFonts w:ascii="Times New Roman" w:hAnsi="Times New Roman" w:cs="Times New Roman"/>
          <w:color w:val="000000" w:themeColor="text1"/>
          <w:sz w:val="24"/>
          <w:szCs w:val="24"/>
        </w:rPr>
        <w:t xml:space="preserve">. The absence of tingling sensations, numbness, weakness and </w:t>
      </w:r>
      <w:r w:rsidR="00570345" w:rsidRPr="00F80BEE">
        <w:rPr>
          <w:rFonts w:ascii="Times New Roman" w:hAnsi="Times New Roman" w:cs="Times New Roman"/>
          <w:color w:val="000000" w:themeColor="text1"/>
          <w:sz w:val="24"/>
          <w:szCs w:val="24"/>
        </w:rPr>
        <w:t xml:space="preserve">pain on the extremities excludes this condition as the actual diagnosis. </w:t>
      </w:r>
    </w:p>
    <w:p w:rsidR="00570345" w:rsidRPr="00F80BEE" w:rsidRDefault="00F559FA" w:rsidP="00F80BEE">
      <w:pPr>
        <w:spacing w:before="100" w:beforeAutospacing="1" w:after="100" w:afterAutospacing="1" w:line="480" w:lineRule="auto"/>
        <w:ind w:firstLine="851"/>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Diagnostic Tests</w:t>
      </w:r>
    </w:p>
    <w:p w:rsidR="00570345" w:rsidRPr="00F80BEE" w:rsidRDefault="00F559FA" w:rsidP="00F80BEE">
      <w:pPr>
        <w:pStyle w:val="ListParagraph"/>
        <w:numPr>
          <w:ilvl w:val="0"/>
          <w:numId w:val="2"/>
        </w:numPr>
        <w:spacing w:before="100" w:beforeAutospacing="1" w:after="100" w:afterAutospacing="1" w:line="480" w:lineRule="auto"/>
        <w:ind w:left="0"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X-ray- the images that are derived from the X-rays provide a review of the alignment of the bones. The images show the presence of any strains and sprains on the disks and can also reveal whether the patient has fractures or arthritis. However, the problems related to nerves, muscles and spinal cord cannot be revealed.</w:t>
      </w:r>
    </w:p>
    <w:p w:rsidR="00F308B7" w:rsidRPr="00F80BEE" w:rsidRDefault="00F559FA" w:rsidP="00F80BEE">
      <w:pPr>
        <w:pStyle w:val="ListParagraph"/>
        <w:numPr>
          <w:ilvl w:val="0"/>
          <w:numId w:val="2"/>
        </w:numPr>
        <w:spacing w:before="100" w:beforeAutospacing="1" w:after="100" w:afterAutospacing="1" w:line="480" w:lineRule="auto"/>
        <w:ind w:left="0"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CT scans and MRI- these two imaging studies are significant in revealing the presence of herniated disks and problems associate with blood vessels, ligaments, nerves, tendons, tissues, muscles and bones</w:t>
      </w:r>
      <w:r w:rsidR="00CC5675" w:rsidRPr="00F80BEE">
        <w:rPr>
          <w:rFonts w:ascii="Times New Roman" w:hAnsi="Times New Roman" w:cs="Times New Roman"/>
          <w:color w:val="000000" w:themeColor="text1"/>
          <w:sz w:val="24"/>
          <w:szCs w:val="24"/>
        </w:rPr>
        <w:t xml:space="preserve"> (</w:t>
      </w:r>
      <w:r w:rsidR="00CC5675" w:rsidRPr="00F80BEE">
        <w:rPr>
          <w:rFonts w:ascii="Times New Roman" w:hAnsi="Times New Roman" w:cs="Times New Roman"/>
          <w:color w:val="000000" w:themeColor="text1"/>
          <w:sz w:val="24"/>
          <w:szCs w:val="24"/>
          <w:shd w:val="clear" w:color="auto" w:fill="FFFFFF"/>
        </w:rPr>
        <w:t>Almeida &amp;Kraychete, 2020)</w:t>
      </w:r>
      <w:r w:rsidRPr="00F80BEE">
        <w:rPr>
          <w:rFonts w:ascii="Times New Roman" w:hAnsi="Times New Roman" w:cs="Times New Roman"/>
          <w:color w:val="000000" w:themeColor="text1"/>
          <w:sz w:val="24"/>
          <w:szCs w:val="24"/>
        </w:rPr>
        <w:t>. They are imaging tests the enhances the development of actual diagnosis for the patient.</w:t>
      </w:r>
    </w:p>
    <w:p w:rsidR="00F308B7" w:rsidRPr="00F80BEE" w:rsidRDefault="00F559FA" w:rsidP="00F80BEE">
      <w:pPr>
        <w:pStyle w:val="ListParagraph"/>
        <w:numPr>
          <w:ilvl w:val="0"/>
          <w:numId w:val="2"/>
        </w:numPr>
        <w:spacing w:before="100" w:beforeAutospacing="1" w:after="100" w:afterAutospacing="1" w:line="480" w:lineRule="auto"/>
        <w:ind w:left="0"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Blood tests- the blood is tested for infections and other conditions that can be the cause of the back pain. </w:t>
      </w:r>
    </w:p>
    <w:p w:rsidR="00F308B7" w:rsidRPr="00F80BEE" w:rsidRDefault="00F559FA" w:rsidP="00F80BEE">
      <w:pPr>
        <w:pStyle w:val="ListParagraph"/>
        <w:numPr>
          <w:ilvl w:val="0"/>
          <w:numId w:val="2"/>
        </w:numPr>
        <w:spacing w:before="100" w:beforeAutospacing="1" w:after="100" w:afterAutospacing="1" w:line="480" w:lineRule="auto"/>
        <w:ind w:left="0"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Nerve study- it includes EMG (electromyography) which assesses the electrical impulses generated by the nerves and the reaction of the muscles. The test is significant in confirming compression of the nerve by the presence of herniated disk or spinal stenosis.</w:t>
      </w:r>
    </w:p>
    <w:p w:rsidR="005D5E5A" w:rsidRPr="00F80BEE" w:rsidRDefault="00F559FA" w:rsidP="00F80BEE">
      <w:pPr>
        <w:spacing w:before="100" w:beforeAutospacing="1" w:after="100" w:afterAutospacing="1" w:line="480" w:lineRule="auto"/>
        <w:ind w:firstLine="851"/>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Management</w:t>
      </w:r>
    </w:p>
    <w:p w:rsidR="005D5E5A" w:rsidRPr="00F80BEE" w:rsidRDefault="00F559FA" w:rsidP="00F80BEE">
      <w:pPr>
        <w:spacing w:before="100" w:beforeAutospacing="1" w:after="100" w:afterAutospacing="1" w:line="480" w:lineRule="auto"/>
        <w:ind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lastRenderedPageBreak/>
        <w:t xml:space="preserve">Various treatment modalities are used to manage lower back pain. One of the </w:t>
      </w:r>
      <w:r w:rsidR="00F45A9C" w:rsidRPr="00F80BEE">
        <w:rPr>
          <w:rFonts w:ascii="Times New Roman" w:hAnsi="Times New Roman" w:cs="Times New Roman"/>
          <w:color w:val="000000" w:themeColor="text1"/>
          <w:sz w:val="24"/>
          <w:szCs w:val="24"/>
        </w:rPr>
        <w:t>commonly</w:t>
      </w:r>
      <w:r w:rsidRPr="00F80BEE">
        <w:rPr>
          <w:rFonts w:ascii="Times New Roman" w:hAnsi="Times New Roman" w:cs="Times New Roman"/>
          <w:color w:val="000000" w:themeColor="text1"/>
          <w:sz w:val="24"/>
          <w:szCs w:val="24"/>
        </w:rPr>
        <w:t xml:space="preserve"> used strategies is the use of </w:t>
      </w:r>
      <w:r w:rsidR="00F45A9C" w:rsidRPr="00F80BEE">
        <w:rPr>
          <w:rFonts w:ascii="Times New Roman" w:hAnsi="Times New Roman" w:cs="Times New Roman"/>
          <w:color w:val="000000" w:themeColor="text1"/>
          <w:sz w:val="24"/>
          <w:szCs w:val="24"/>
        </w:rPr>
        <w:t>medications. One of the medications that will be essential for the treatment of the patient is pain reliever such as NSAIDs. NSAIDs such as paracetamol is the significance for the management of pain. NSAIDs works by inhibiting the activities of cyclooxygenase enzymes which enhances the production of prostaglandins that are linked to thromboxane and inflammation, which enhances pain.  Muscle relaxants such as cyclobenzaprine are significance for the treatment of the patient to ensure that pain is managed through prevention of muscle spasms</w:t>
      </w:r>
      <w:r w:rsidR="00B7258A" w:rsidRPr="00F80BEE">
        <w:rPr>
          <w:rFonts w:ascii="Times New Roman" w:hAnsi="Times New Roman" w:cs="Times New Roman"/>
          <w:color w:val="000000" w:themeColor="text1"/>
          <w:sz w:val="24"/>
          <w:szCs w:val="24"/>
        </w:rPr>
        <w:t xml:space="preserve"> (</w:t>
      </w:r>
      <w:r w:rsidR="00B7258A" w:rsidRPr="00F80BEE">
        <w:rPr>
          <w:rFonts w:ascii="Times New Roman" w:hAnsi="Times New Roman" w:cs="Times New Roman"/>
          <w:color w:val="000000" w:themeColor="text1"/>
          <w:sz w:val="24"/>
          <w:szCs w:val="24"/>
          <w:shd w:val="clear" w:color="auto" w:fill="FFFFFF"/>
        </w:rPr>
        <w:t>Moi et al., 2018)</w:t>
      </w:r>
      <w:r w:rsidR="00F45A9C" w:rsidRPr="00F80BEE">
        <w:rPr>
          <w:rFonts w:ascii="Times New Roman" w:hAnsi="Times New Roman" w:cs="Times New Roman"/>
          <w:color w:val="000000" w:themeColor="text1"/>
          <w:sz w:val="24"/>
          <w:szCs w:val="24"/>
        </w:rPr>
        <w:t xml:space="preserve">. The muscle relaxants are significance to ensure that the use of pain relievers is boosted and efficiency in treatment is enhanced. The use of narcotics can be significant for the patient because the pain is not chronic. However, the narcotics can be used partially with close supervision. Antidepressants such as amitriptyline are significance in the treatment of the patient. Urguhart et al. (2016) opine that the use of amitriptyline is useful in the treatment of lower back pain. The drug is linked to a decreased need for surgical interventions and increased treatment costs. </w:t>
      </w:r>
      <w:r w:rsidR="007817D0" w:rsidRPr="00F80BEE">
        <w:rPr>
          <w:rFonts w:ascii="Times New Roman" w:hAnsi="Times New Roman" w:cs="Times New Roman"/>
          <w:color w:val="000000" w:themeColor="text1"/>
          <w:sz w:val="24"/>
          <w:szCs w:val="24"/>
        </w:rPr>
        <w:t>Also, the use of cortisone injection is the significance of the treatment of the patient to ensure that inflammation of the nerves is managed.</w:t>
      </w:r>
    </w:p>
    <w:p w:rsidR="007817D0" w:rsidRPr="00F80BEE" w:rsidRDefault="00F559FA" w:rsidP="00F80BEE">
      <w:pPr>
        <w:spacing w:before="100" w:beforeAutospacing="1" w:after="100" w:afterAutospacing="1" w:line="480" w:lineRule="auto"/>
        <w:ind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Other treatment modalities enhance the management of muscle strain. One of the strategies is enhancing protection for the muscle to prevent further injuries. Promoting rest for the muscle involved, which includes avoiding activities which cause strain. The muscle area should be iced to enhance an anti-inflammatory effect and relieve pain. Compression can be used on the muscles to prevent swelling the managing pain.</w:t>
      </w:r>
    </w:p>
    <w:p w:rsidR="007817D0" w:rsidRPr="00F80BEE" w:rsidRDefault="00F559FA" w:rsidP="00F80BEE">
      <w:pPr>
        <w:spacing w:before="100" w:beforeAutospacing="1" w:after="100" w:afterAutospacing="1" w:line="480" w:lineRule="auto"/>
        <w:ind w:firstLine="851"/>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Prognosis</w:t>
      </w:r>
    </w:p>
    <w:p w:rsidR="007817D0" w:rsidRPr="00F80BEE" w:rsidRDefault="00F559FA" w:rsidP="00F80BEE">
      <w:pPr>
        <w:spacing w:before="100" w:beforeAutospacing="1" w:after="100" w:afterAutospacing="1" w:line="480" w:lineRule="auto"/>
        <w:ind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In most case, lower back pain is well managed within one month through the use of home treatment. However, the condition is different for every individual and treatment </w:t>
      </w:r>
      <w:r w:rsidRPr="00F80BEE">
        <w:rPr>
          <w:rFonts w:ascii="Times New Roman" w:hAnsi="Times New Roman" w:cs="Times New Roman"/>
          <w:color w:val="000000" w:themeColor="text1"/>
          <w:sz w:val="24"/>
          <w:szCs w:val="24"/>
        </w:rPr>
        <w:lastRenderedPageBreak/>
        <w:t>becomes complex. For most of the patients, the pain is not effectively managed for a few months. More so, the presence of underlying conditions such as osteoporosis, arthritis, infections and malignancies affect the outcome of treatment</w:t>
      </w:r>
      <w:r w:rsidR="00B7258A" w:rsidRPr="00F80BEE">
        <w:rPr>
          <w:rFonts w:ascii="Times New Roman" w:hAnsi="Times New Roman" w:cs="Times New Roman"/>
          <w:color w:val="000000" w:themeColor="text1"/>
          <w:sz w:val="24"/>
          <w:szCs w:val="24"/>
        </w:rPr>
        <w:t xml:space="preserve"> (</w:t>
      </w:r>
      <w:r w:rsidR="00B7258A" w:rsidRPr="00F80BEE">
        <w:rPr>
          <w:rFonts w:ascii="Times New Roman" w:hAnsi="Times New Roman" w:cs="Times New Roman"/>
          <w:color w:val="000000" w:themeColor="text1"/>
          <w:sz w:val="24"/>
          <w:szCs w:val="24"/>
          <w:shd w:val="clear" w:color="auto" w:fill="FFFFFF"/>
        </w:rPr>
        <w:t>Heyman et al., 2010)</w:t>
      </w:r>
      <w:r w:rsidRPr="00F80BEE">
        <w:rPr>
          <w:rFonts w:ascii="Times New Roman" w:hAnsi="Times New Roman" w:cs="Times New Roman"/>
          <w:color w:val="000000" w:themeColor="text1"/>
          <w:sz w:val="24"/>
          <w:szCs w:val="24"/>
        </w:rPr>
        <w:t>. When there is an underlying condition, the recovery of the patient is diminished. Early diagnosis and treatment lead to a positive outcome. Therefore, because, the patient seek treatment early, the outcome of the treatment is expected to be positive.</w:t>
      </w:r>
    </w:p>
    <w:p w:rsidR="00CB16D5" w:rsidRPr="00F80BEE" w:rsidRDefault="00F559FA" w:rsidP="00F80BEE">
      <w:pPr>
        <w:spacing w:before="100" w:beforeAutospacing="1" w:after="100" w:afterAutospacing="1" w:line="480" w:lineRule="auto"/>
        <w:ind w:firstLine="851"/>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Follow-up</w:t>
      </w:r>
    </w:p>
    <w:p w:rsidR="007817D0" w:rsidRPr="00F80BEE" w:rsidRDefault="00F559FA" w:rsidP="00F80BEE">
      <w:pPr>
        <w:spacing w:before="100" w:beforeAutospacing="1" w:after="100" w:afterAutospacing="1" w:line="480" w:lineRule="auto"/>
        <w:ind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Patent who have lower back pain needs to be put under long term programs that enhance follow up. The follow-up management involves multi-disciplinary rehabilitation from different experts. The patient should be discharged through an orthopaedic specialist who will ensure further assessments and management.</w:t>
      </w:r>
    </w:p>
    <w:p w:rsidR="00C703B1" w:rsidRPr="00F80BEE" w:rsidRDefault="00F559FA" w:rsidP="00F80BEE">
      <w:pPr>
        <w:spacing w:before="100" w:beforeAutospacing="1" w:after="100" w:afterAutospacing="1" w:line="480" w:lineRule="auto"/>
        <w:ind w:firstLine="851"/>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Education</w:t>
      </w:r>
    </w:p>
    <w:p w:rsidR="00C703B1" w:rsidRPr="00F80BEE" w:rsidRDefault="00F559FA" w:rsidP="00F80BEE">
      <w:pPr>
        <w:spacing w:before="100" w:beforeAutospacing="1" w:after="100" w:afterAutospacing="1" w:line="480" w:lineRule="auto"/>
        <w:ind w:firstLine="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rPr>
        <w:t xml:space="preserve">The patient should be taught about the causative factors of lower back pain and how to prevent them. Factors such as strains and underlying medical conditions should be addressed. Lifestyle changes such as smoking, alcoholism and drug abuse should also be addressed. The patient should be encouraged to take rest until recovery. Adherence to medications should be encouraged to enhance effective treatment. </w:t>
      </w:r>
    </w:p>
    <w:p w:rsidR="00F80BEE" w:rsidRDefault="00F80BEE" w:rsidP="00F80BEE">
      <w:pPr>
        <w:spacing w:before="100" w:beforeAutospacing="1" w:after="100" w:afterAutospacing="1" w:line="480" w:lineRule="auto"/>
        <w:rPr>
          <w:rFonts w:ascii="Times New Roman" w:hAnsi="Times New Roman" w:cs="Times New Roman"/>
          <w:color w:val="000000" w:themeColor="text1"/>
          <w:sz w:val="24"/>
          <w:szCs w:val="24"/>
        </w:rPr>
      </w:pPr>
    </w:p>
    <w:p w:rsidR="00F80BEE" w:rsidRDefault="00F80BEE" w:rsidP="00F80BEE">
      <w:pPr>
        <w:spacing w:before="100" w:beforeAutospacing="1" w:after="100" w:afterAutospacing="1" w:line="480" w:lineRule="auto"/>
        <w:rPr>
          <w:rFonts w:ascii="Times New Roman" w:hAnsi="Times New Roman" w:cs="Times New Roman"/>
          <w:color w:val="000000" w:themeColor="text1"/>
          <w:sz w:val="24"/>
          <w:szCs w:val="24"/>
        </w:rPr>
      </w:pPr>
    </w:p>
    <w:p w:rsidR="00F80BEE" w:rsidRDefault="00F80BEE" w:rsidP="00F80BEE">
      <w:pPr>
        <w:spacing w:before="100" w:beforeAutospacing="1" w:after="100" w:afterAutospacing="1" w:line="480" w:lineRule="auto"/>
        <w:rPr>
          <w:rFonts w:ascii="Times New Roman" w:hAnsi="Times New Roman" w:cs="Times New Roman"/>
          <w:color w:val="000000" w:themeColor="text1"/>
          <w:sz w:val="24"/>
          <w:szCs w:val="24"/>
        </w:rPr>
      </w:pPr>
    </w:p>
    <w:p w:rsidR="00F80BEE" w:rsidRDefault="00F80BEE" w:rsidP="00F80BEE">
      <w:pPr>
        <w:spacing w:before="100" w:beforeAutospacing="1" w:after="100" w:afterAutospacing="1" w:line="480" w:lineRule="auto"/>
        <w:rPr>
          <w:rFonts w:ascii="Times New Roman" w:hAnsi="Times New Roman" w:cs="Times New Roman"/>
          <w:color w:val="000000" w:themeColor="text1"/>
          <w:sz w:val="24"/>
          <w:szCs w:val="24"/>
        </w:rPr>
      </w:pPr>
    </w:p>
    <w:p w:rsidR="00F80BEE" w:rsidRDefault="00F80BEE" w:rsidP="00F80BEE">
      <w:pPr>
        <w:spacing w:before="100" w:beforeAutospacing="1" w:after="100" w:afterAutospacing="1" w:line="480" w:lineRule="auto"/>
        <w:rPr>
          <w:rFonts w:ascii="Times New Roman" w:hAnsi="Times New Roman" w:cs="Times New Roman"/>
          <w:color w:val="000000" w:themeColor="text1"/>
          <w:sz w:val="24"/>
          <w:szCs w:val="24"/>
        </w:rPr>
      </w:pPr>
    </w:p>
    <w:p w:rsidR="00F80BEE" w:rsidRDefault="00F80BEE" w:rsidP="00F80BEE">
      <w:pPr>
        <w:spacing w:before="100" w:beforeAutospacing="1" w:after="100" w:afterAutospacing="1" w:line="480" w:lineRule="auto"/>
        <w:rPr>
          <w:rFonts w:ascii="Times New Roman" w:hAnsi="Times New Roman" w:cs="Times New Roman"/>
          <w:color w:val="000000" w:themeColor="text1"/>
          <w:sz w:val="24"/>
          <w:szCs w:val="24"/>
        </w:rPr>
      </w:pPr>
    </w:p>
    <w:p w:rsidR="005037F4" w:rsidRPr="00F80BEE" w:rsidRDefault="00F559FA" w:rsidP="00F80BEE">
      <w:pPr>
        <w:spacing w:before="100" w:beforeAutospacing="1" w:after="100" w:afterAutospacing="1" w:line="480" w:lineRule="auto"/>
        <w:jc w:val="center"/>
        <w:rPr>
          <w:rFonts w:ascii="Times New Roman" w:hAnsi="Times New Roman" w:cs="Times New Roman"/>
          <w:b/>
          <w:bCs/>
          <w:color w:val="000000" w:themeColor="text1"/>
          <w:sz w:val="24"/>
          <w:szCs w:val="24"/>
        </w:rPr>
      </w:pPr>
      <w:r w:rsidRPr="00F80BEE">
        <w:rPr>
          <w:rFonts w:ascii="Times New Roman" w:hAnsi="Times New Roman" w:cs="Times New Roman"/>
          <w:b/>
          <w:bCs/>
          <w:color w:val="000000" w:themeColor="text1"/>
          <w:sz w:val="24"/>
          <w:szCs w:val="24"/>
        </w:rPr>
        <w:t>References</w:t>
      </w:r>
    </w:p>
    <w:p w:rsidR="00F80BEE" w:rsidRPr="00F80BEE" w:rsidRDefault="00F559FA" w:rsidP="00F80BEE">
      <w:pPr>
        <w:spacing w:before="100" w:beforeAutospacing="1" w:after="100" w:afterAutospacing="1" w:line="480" w:lineRule="auto"/>
        <w:ind w:left="851" w:hanging="851"/>
        <w:rPr>
          <w:rFonts w:ascii="Times New Roman" w:hAnsi="Times New Roman" w:cs="Times New Roman"/>
          <w:color w:val="000000" w:themeColor="text1"/>
          <w:sz w:val="24"/>
          <w:szCs w:val="24"/>
          <w:shd w:val="clear" w:color="auto" w:fill="FFFFFF"/>
        </w:rPr>
      </w:pPr>
      <w:r w:rsidRPr="00F80BEE">
        <w:rPr>
          <w:rFonts w:ascii="Times New Roman" w:hAnsi="Times New Roman" w:cs="Times New Roman"/>
          <w:color w:val="000000" w:themeColor="text1"/>
          <w:sz w:val="24"/>
          <w:szCs w:val="24"/>
          <w:shd w:val="clear" w:color="auto" w:fill="FFFFFF"/>
        </w:rPr>
        <w:t>Allegri, M., Montella, S., Salici, F., Valente, A., Marchesini, M., Compagnone, C., Baciarello, M., Manferdini, M. E., &amp; Fanelli, G. (2016). Mechanisms of low back pain: a guide for diagnosis and therapy. </w:t>
      </w:r>
      <w:r w:rsidRPr="00F80BEE">
        <w:rPr>
          <w:rFonts w:ascii="Times New Roman" w:hAnsi="Times New Roman" w:cs="Times New Roman"/>
          <w:i/>
          <w:iCs/>
          <w:color w:val="000000" w:themeColor="text1"/>
          <w:sz w:val="24"/>
          <w:szCs w:val="24"/>
          <w:shd w:val="clear" w:color="auto" w:fill="FFFFFF"/>
        </w:rPr>
        <w:t>F1000Research</w:t>
      </w:r>
      <w:r w:rsidRPr="00F80BEE">
        <w:rPr>
          <w:rFonts w:ascii="Times New Roman" w:hAnsi="Times New Roman" w:cs="Times New Roman"/>
          <w:color w:val="000000" w:themeColor="text1"/>
          <w:sz w:val="24"/>
          <w:szCs w:val="24"/>
          <w:shd w:val="clear" w:color="auto" w:fill="FFFFFF"/>
        </w:rPr>
        <w:t>, </w:t>
      </w:r>
      <w:r w:rsidRPr="00F80BEE">
        <w:rPr>
          <w:rFonts w:ascii="Times New Roman" w:hAnsi="Times New Roman" w:cs="Times New Roman"/>
          <w:i/>
          <w:iCs/>
          <w:color w:val="000000" w:themeColor="text1"/>
          <w:sz w:val="24"/>
          <w:szCs w:val="24"/>
          <w:shd w:val="clear" w:color="auto" w:fill="FFFFFF"/>
        </w:rPr>
        <w:t>5</w:t>
      </w:r>
      <w:r w:rsidRPr="00F80BEE">
        <w:rPr>
          <w:rFonts w:ascii="Times New Roman" w:hAnsi="Times New Roman" w:cs="Times New Roman"/>
          <w:color w:val="000000" w:themeColor="text1"/>
          <w:sz w:val="24"/>
          <w:szCs w:val="24"/>
          <w:shd w:val="clear" w:color="auto" w:fill="FFFFFF"/>
        </w:rPr>
        <w:t xml:space="preserve">, F1000 Faculty Rev-1530. </w:t>
      </w:r>
      <w:hyperlink r:id="rId7" w:history="1">
        <w:r w:rsidRPr="00F80BEE">
          <w:rPr>
            <w:rStyle w:val="Hyperlink"/>
            <w:rFonts w:ascii="Times New Roman" w:hAnsi="Times New Roman" w:cs="Times New Roman"/>
            <w:color w:val="000000" w:themeColor="text1"/>
            <w:sz w:val="24"/>
            <w:szCs w:val="24"/>
            <w:u w:val="none"/>
            <w:shd w:val="clear" w:color="auto" w:fill="FFFFFF"/>
          </w:rPr>
          <w:t>https://doi.org/10.12688/f1000research.8105.2</w:t>
        </w:r>
      </w:hyperlink>
    </w:p>
    <w:p w:rsidR="00F80BEE" w:rsidRPr="00F80BEE" w:rsidRDefault="00F559FA" w:rsidP="00F80BEE">
      <w:pPr>
        <w:spacing w:before="100" w:beforeAutospacing="1" w:after="100" w:afterAutospacing="1" w:line="480" w:lineRule="auto"/>
        <w:ind w:left="851" w:hanging="851"/>
        <w:rPr>
          <w:rFonts w:ascii="Times New Roman" w:hAnsi="Times New Roman" w:cs="Times New Roman"/>
          <w:color w:val="000000" w:themeColor="text1"/>
          <w:sz w:val="24"/>
          <w:szCs w:val="24"/>
          <w:shd w:val="clear" w:color="auto" w:fill="FFFFFF"/>
        </w:rPr>
      </w:pPr>
      <w:r w:rsidRPr="00F80BEE">
        <w:rPr>
          <w:rFonts w:ascii="Times New Roman" w:hAnsi="Times New Roman" w:cs="Times New Roman"/>
          <w:color w:val="000000" w:themeColor="text1"/>
          <w:sz w:val="24"/>
          <w:szCs w:val="24"/>
          <w:shd w:val="clear" w:color="auto" w:fill="FFFFFF"/>
        </w:rPr>
        <w:t>Almeida, D., &amp;Kraychete, D. (2020). </w:t>
      </w:r>
      <w:r w:rsidRPr="00F80BEE">
        <w:rPr>
          <w:rFonts w:ascii="Times New Roman" w:hAnsi="Times New Roman" w:cs="Times New Roman"/>
          <w:i/>
          <w:iCs/>
          <w:color w:val="000000" w:themeColor="text1"/>
          <w:sz w:val="24"/>
          <w:szCs w:val="24"/>
          <w:shd w:val="clear" w:color="auto" w:fill="FFFFFF"/>
        </w:rPr>
        <w:t>Low back pain – a diagnostic approach</w:t>
      </w:r>
      <w:r w:rsidRPr="00F80BEE">
        <w:rPr>
          <w:rFonts w:ascii="Times New Roman" w:hAnsi="Times New Roman" w:cs="Times New Roman"/>
          <w:color w:val="000000" w:themeColor="text1"/>
          <w:sz w:val="24"/>
          <w:szCs w:val="24"/>
          <w:shd w:val="clear" w:color="auto" w:fill="FFFFFF"/>
        </w:rPr>
        <w:t>. Retrieved 3 November 2020, from http://dx.doi.org/10.5935/1806-0013.20170034.</w:t>
      </w:r>
    </w:p>
    <w:p w:rsidR="00F80BEE" w:rsidRPr="00F80BEE" w:rsidRDefault="00F559FA" w:rsidP="00F80BEE">
      <w:pPr>
        <w:spacing w:before="100" w:beforeAutospacing="1" w:after="100" w:afterAutospacing="1" w:line="480" w:lineRule="auto"/>
        <w:ind w:left="851" w:hanging="851"/>
        <w:rPr>
          <w:rFonts w:ascii="Times New Roman" w:hAnsi="Times New Roman" w:cs="Times New Roman"/>
          <w:color w:val="000000" w:themeColor="text1"/>
          <w:sz w:val="24"/>
          <w:szCs w:val="24"/>
        </w:rPr>
      </w:pPr>
      <w:r w:rsidRPr="00F80BEE">
        <w:rPr>
          <w:rFonts w:ascii="Times New Roman" w:hAnsi="Times New Roman" w:cs="Times New Roman"/>
          <w:color w:val="000000" w:themeColor="text1"/>
          <w:sz w:val="24"/>
          <w:szCs w:val="24"/>
          <w:shd w:val="clear" w:color="auto" w:fill="FFFFFF"/>
        </w:rPr>
        <w:t>Heymans, M., van Buuren, S., Knol, D., Anema, J., van Mechelen, W., &amp; de Vet, H. (2010). The prognosis of chronic low back pain is determined by changes in pain and disability in the initial period. </w:t>
      </w:r>
      <w:r w:rsidRPr="00F80BEE">
        <w:rPr>
          <w:rFonts w:ascii="Times New Roman" w:hAnsi="Times New Roman" w:cs="Times New Roman"/>
          <w:i/>
          <w:iCs/>
          <w:color w:val="000000" w:themeColor="text1"/>
          <w:sz w:val="24"/>
          <w:szCs w:val="24"/>
          <w:shd w:val="clear" w:color="auto" w:fill="FFFFFF"/>
        </w:rPr>
        <w:t>The Spine Journal</w:t>
      </w:r>
      <w:r w:rsidRPr="00F80BEE">
        <w:rPr>
          <w:rFonts w:ascii="Times New Roman" w:hAnsi="Times New Roman" w:cs="Times New Roman"/>
          <w:color w:val="000000" w:themeColor="text1"/>
          <w:sz w:val="24"/>
          <w:szCs w:val="24"/>
          <w:shd w:val="clear" w:color="auto" w:fill="FFFFFF"/>
        </w:rPr>
        <w:t>, </w:t>
      </w:r>
      <w:r w:rsidRPr="00F80BEE">
        <w:rPr>
          <w:rFonts w:ascii="Times New Roman" w:hAnsi="Times New Roman" w:cs="Times New Roman"/>
          <w:i/>
          <w:iCs/>
          <w:color w:val="000000" w:themeColor="text1"/>
          <w:sz w:val="24"/>
          <w:szCs w:val="24"/>
          <w:shd w:val="clear" w:color="auto" w:fill="FFFFFF"/>
        </w:rPr>
        <w:t>10</w:t>
      </w:r>
      <w:r w:rsidRPr="00F80BEE">
        <w:rPr>
          <w:rFonts w:ascii="Times New Roman" w:hAnsi="Times New Roman" w:cs="Times New Roman"/>
          <w:color w:val="000000" w:themeColor="text1"/>
          <w:sz w:val="24"/>
          <w:szCs w:val="24"/>
          <w:shd w:val="clear" w:color="auto" w:fill="FFFFFF"/>
        </w:rPr>
        <w:t>(10), 847-856. https://doi.org/10.1016/j.spinee.2010.06.005</w:t>
      </w:r>
    </w:p>
    <w:p w:rsidR="00F80BEE" w:rsidRPr="00F80BEE" w:rsidRDefault="00F559FA" w:rsidP="00F80BEE">
      <w:pPr>
        <w:spacing w:before="100" w:beforeAutospacing="1" w:after="100" w:afterAutospacing="1" w:line="480" w:lineRule="auto"/>
        <w:ind w:left="851" w:hanging="851"/>
        <w:rPr>
          <w:rFonts w:ascii="Times New Roman" w:hAnsi="Times New Roman" w:cs="Times New Roman"/>
          <w:color w:val="000000" w:themeColor="text1"/>
          <w:sz w:val="24"/>
          <w:szCs w:val="24"/>
          <w:shd w:val="clear" w:color="auto" w:fill="FFFFFF"/>
        </w:rPr>
      </w:pPr>
      <w:r w:rsidRPr="00F80BEE">
        <w:rPr>
          <w:rFonts w:ascii="Times New Roman" w:hAnsi="Times New Roman" w:cs="Times New Roman"/>
          <w:color w:val="000000" w:themeColor="text1"/>
          <w:sz w:val="24"/>
          <w:szCs w:val="24"/>
          <w:shd w:val="clear" w:color="auto" w:fill="FFFFFF"/>
        </w:rPr>
        <w:t xml:space="preserve">Husky, M. M., Ferdous Farin, F., Compagnone, P., Fermanian, C., &amp;Kovess-Masfety, V. (2018). Chronic back pain and its association with quality of life in an extensive French population survey. </w:t>
      </w:r>
      <w:r w:rsidRPr="00F80BEE">
        <w:rPr>
          <w:rFonts w:ascii="Times New Roman" w:hAnsi="Times New Roman" w:cs="Times New Roman"/>
          <w:i/>
          <w:iCs/>
          <w:color w:val="000000" w:themeColor="text1"/>
          <w:sz w:val="24"/>
          <w:szCs w:val="24"/>
          <w:shd w:val="clear" w:color="auto" w:fill="FFFFFF"/>
        </w:rPr>
        <w:t>Health and quality of life outcomes</w:t>
      </w:r>
      <w:r w:rsidRPr="00F80BEE">
        <w:rPr>
          <w:rFonts w:ascii="Times New Roman" w:hAnsi="Times New Roman" w:cs="Times New Roman"/>
          <w:color w:val="000000" w:themeColor="text1"/>
          <w:sz w:val="24"/>
          <w:szCs w:val="24"/>
          <w:shd w:val="clear" w:color="auto" w:fill="FFFFFF"/>
        </w:rPr>
        <w:t>, </w:t>
      </w:r>
      <w:r w:rsidRPr="00F80BEE">
        <w:rPr>
          <w:rFonts w:ascii="Times New Roman" w:hAnsi="Times New Roman" w:cs="Times New Roman"/>
          <w:i/>
          <w:iCs/>
          <w:color w:val="000000" w:themeColor="text1"/>
          <w:sz w:val="24"/>
          <w:szCs w:val="24"/>
          <w:shd w:val="clear" w:color="auto" w:fill="FFFFFF"/>
        </w:rPr>
        <w:t>16</w:t>
      </w:r>
      <w:r w:rsidRPr="00F80BEE">
        <w:rPr>
          <w:rFonts w:ascii="Times New Roman" w:hAnsi="Times New Roman" w:cs="Times New Roman"/>
          <w:color w:val="000000" w:themeColor="text1"/>
          <w:sz w:val="24"/>
          <w:szCs w:val="24"/>
          <w:shd w:val="clear" w:color="auto" w:fill="FFFFFF"/>
        </w:rPr>
        <w:t xml:space="preserve">(1), 195. </w:t>
      </w:r>
      <w:hyperlink r:id="rId8" w:history="1">
        <w:r w:rsidRPr="00F80BEE">
          <w:rPr>
            <w:rStyle w:val="Hyperlink"/>
            <w:rFonts w:ascii="Times New Roman" w:hAnsi="Times New Roman" w:cs="Times New Roman"/>
            <w:color w:val="000000" w:themeColor="text1"/>
            <w:sz w:val="24"/>
            <w:szCs w:val="24"/>
            <w:u w:val="none"/>
            <w:shd w:val="clear" w:color="auto" w:fill="FFFFFF"/>
          </w:rPr>
          <w:t>https://doi.org/10.1186/s12955-018-1018-4</w:t>
        </w:r>
      </w:hyperlink>
    </w:p>
    <w:p w:rsidR="00F80BEE" w:rsidRPr="00F80BEE" w:rsidRDefault="00F559FA" w:rsidP="00F80BEE">
      <w:pPr>
        <w:spacing w:before="100" w:beforeAutospacing="1" w:after="100" w:afterAutospacing="1" w:line="480" w:lineRule="auto"/>
        <w:ind w:left="851" w:hanging="851"/>
        <w:rPr>
          <w:rFonts w:ascii="Times New Roman" w:hAnsi="Times New Roman" w:cs="Times New Roman"/>
          <w:color w:val="000000" w:themeColor="text1"/>
          <w:sz w:val="24"/>
          <w:szCs w:val="24"/>
          <w:shd w:val="clear" w:color="auto" w:fill="FFFFFF"/>
        </w:rPr>
      </w:pPr>
      <w:r w:rsidRPr="00F80BEE">
        <w:rPr>
          <w:rFonts w:ascii="Times New Roman" w:hAnsi="Times New Roman" w:cs="Times New Roman"/>
          <w:color w:val="000000" w:themeColor="text1"/>
          <w:sz w:val="24"/>
          <w:szCs w:val="24"/>
          <w:shd w:val="clear" w:color="auto" w:fill="FFFFFF"/>
        </w:rPr>
        <w:t>Moi, J., Phan, U., de Gruchy, A., Liew, D., Yuen, T. I., Cunningham, J. E., &amp; Wicks, I. P. (2018). Is establishing a specialist back pain assessment and management service in primary care a safe and effective model? Twelve-month results from the Back-pain Assessment Clinic (BAC) prospective cohort pilot study. </w:t>
      </w:r>
      <w:r w:rsidRPr="00F80BEE">
        <w:rPr>
          <w:rFonts w:ascii="Times New Roman" w:hAnsi="Times New Roman" w:cs="Times New Roman"/>
          <w:i/>
          <w:iCs/>
          <w:color w:val="000000" w:themeColor="text1"/>
          <w:sz w:val="24"/>
          <w:szCs w:val="24"/>
          <w:shd w:val="clear" w:color="auto" w:fill="FFFFFF"/>
        </w:rPr>
        <w:t>BMJ Open</w:t>
      </w:r>
      <w:r w:rsidRPr="00F80BEE">
        <w:rPr>
          <w:rFonts w:ascii="Times New Roman" w:hAnsi="Times New Roman" w:cs="Times New Roman"/>
          <w:color w:val="000000" w:themeColor="text1"/>
          <w:sz w:val="24"/>
          <w:szCs w:val="24"/>
          <w:shd w:val="clear" w:color="auto" w:fill="FFFFFF"/>
        </w:rPr>
        <w:t>, </w:t>
      </w:r>
      <w:r w:rsidRPr="00F80BEE">
        <w:rPr>
          <w:rFonts w:ascii="Times New Roman" w:hAnsi="Times New Roman" w:cs="Times New Roman"/>
          <w:i/>
          <w:iCs/>
          <w:color w:val="000000" w:themeColor="text1"/>
          <w:sz w:val="24"/>
          <w:szCs w:val="24"/>
          <w:shd w:val="clear" w:color="auto" w:fill="FFFFFF"/>
        </w:rPr>
        <w:t>8</w:t>
      </w:r>
      <w:r w:rsidRPr="00F80BEE">
        <w:rPr>
          <w:rFonts w:ascii="Times New Roman" w:hAnsi="Times New Roman" w:cs="Times New Roman"/>
          <w:color w:val="000000" w:themeColor="text1"/>
          <w:sz w:val="24"/>
          <w:szCs w:val="24"/>
          <w:shd w:val="clear" w:color="auto" w:fill="FFFFFF"/>
        </w:rPr>
        <w:t xml:space="preserve">(10), e019275. </w:t>
      </w:r>
      <w:hyperlink r:id="rId9" w:history="1">
        <w:r w:rsidRPr="00F80BEE">
          <w:rPr>
            <w:rStyle w:val="Hyperlink"/>
            <w:rFonts w:ascii="Times New Roman" w:hAnsi="Times New Roman" w:cs="Times New Roman"/>
            <w:color w:val="000000" w:themeColor="text1"/>
            <w:sz w:val="24"/>
            <w:szCs w:val="24"/>
            <w:u w:val="none"/>
            <w:shd w:val="clear" w:color="auto" w:fill="FFFFFF"/>
          </w:rPr>
          <w:t>https://doi.org/10.1136/bmjopen-2017-019275</w:t>
        </w:r>
      </w:hyperlink>
    </w:p>
    <w:p w:rsidR="00F80BEE" w:rsidRPr="00F80BEE" w:rsidRDefault="00F559FA" w:rsidP="00F80BEE">
      <w:pPr>
        <w:spacing w:before="100" w:beforeAutospacing="1" w:after="100" w:afterAutospacing="1" w:line="480" w:lineRule="auto"/>
        <w:ind w:left="851" w:hanging="851"/>
        <w:rPr>
          <w:rStyle w:val="Hyperlink"/>
          <w:rFonts w:ascii="Times New Roman" w:hAnsi="Times New Roman" w:cs="Times New Roman"/>
          <w:color w:val="000000" w:themeColor="text1"/>
          <w:sz w:val="24"/>
          <w:szCs w:val="24"/>
          <w:u w:val="none"/>
          <w:shd w:val="clear" w:color="auto" w:fill="FFFFFF"/>
        </w:rPr>
      </w:pPr>
      <w:r w:rsidRPr="00F80BEE">
        <w:rPr>
          <w:rFonts w:ascii="Times New Roman" w:hAnsi="Times New Roman" w:cs="Times New Roman"/>
          <w:color w:val="000000" w:themeColor="text1"/>
          <w:sz w:val="24"/>
          <w:szCs w:val="24"/>
          <w:shd w:val="clear" w:color="auto" w:fill="FFFFFF"/>
        </w:rPr>
        <w:lastRenderedPageBreak/>
        <w:t>Urquhart, D. M., Wluka, A. E., Sim, M. R., van Tulder, M., Forbes, A., Gibson, S. J., Arnold, C., Fong, C., Anthony, S. N., &amp;Cicuttini, F. M. (2016). Is low-dose amitriptyline effective in the management of chronic low back pain? Study protocol for a randomised controlled trial. </w:t>
      </w:r>
      <w:r w:rsidRPr="00F80BEE">
        <w:rPr>
          <w:rFonts w:ascii="Times New Roman" w:hAnsi="Times New Roman" w:cs="Times New Roman"/>
          <w:i/>
          <w:iCs/>
          <w:color w:val="000000" w:themeColor="text1"/>
          <w:sz w:val="24"/>
          <w:szCs w:val="24"/>
          <w:shd w:val="clear" w:color="auto" w:fill="FFFFFF"/>
        </w:rPr>
        <w:t>Trials</w:t>
      </w:r>
      <w:r w:rsidRPr="00F80BEE">
        <w:rPr>
          <w:rFonts w:ascii="Times New Roman" w:hAnsi="Times New Roman" w:cs="Times New Roman"/>
          <w:color w:val="000000" w:themeColor="text1"/>
          <w:sz w:val="24"/>
          <w:szCs w:val="24"/>
          <w:shd w:val="clear" w:color="auto" w:fill="FFFFFF"/>
        </w:rPr>
        <w:t>, </w:t>
      </w:r>
      <w:r w:rsidRPr="00F80BEE">
        <w:rPr>
          <w:rFonts w:ascii="Times New Roman" w:hAnsi="Times New Roman" w:cs="Times New Roman"/>
          <w:i/>
          <w:iCs/>
          <w:color w:val="000000" w:themeColor="text1"/>
          <w:sz w:val="24"/>
          <w:szCs w:val="24"/>
          <w:shd w:val="clear" w:color="auto" w:fill="FFFFFF"/>
        </w:rPr>
        <w:t>17</w:t>
      </w:r>
      <w:r w:rsidRPr="00F80BEE">
        <w:rPr>
          <w:rFonts w:ascii="Times New Roman" w:hAnsi="Times New Roman" w:cs="Times New Roman"/>
          <w:color w:val="000000" w:themeColor="text1"/>
          <w:sz w:val="24"/>
          <w:szCs w:val="24"/>
          <w:shd w:val="clear" w:color="auto" w:fill="FFFFFF"/>
        </w:rPr>
        <w:t xml:space="preserve">(1), 514. </w:t>
      </w:r>
      <w:hyperlink r:id="rId10" w:history="1">
        <w:r w:rsidRPr="00F80BEE">
          <w:rPr>
            <w:rStyle w:val="Hyperlink"/>
            <w:rFonts w:ascii="Times New Roman" w:hAnsi="Times New Roman" w:cs="Times New Roman"/>
            <w:color w:val="000000" w:themeColor="text1"/>
            <w:sz w:val="24"/>
            <w:szCs w:val="24"/>
            <w:u w:val="none"/>
            <w:shd w:val="clear" w:color="auto" w:fill="FFFFFF"/>
          </w:rPr>
          <w:t>https://doi.org/10.1186/s13063-016-1637-1</w:t>
        </w:r>
      </w:hyperlink>
    </w:p>
    <w:p w:rsidR="005037F4" w:rsidRPr="00F80BEE" w:rsidRDefault="005037F4" w:rsidP="00F80BEE">
      <w:pPr>
        <w:spacing w:before="100" w:beforeAutospacing="1" w:after="100" w:afterAutospacing="1" w:line="480" w:lineRule="auto"/>
        <w:rPr>
          <w:rFonts w:ascii="Times New Roman" w:hAnsi="Times New Roman" w:cs="Times New Roman"/>
          <w:color w:val="000000" w:themeColor="text1"/>
          <w:sz w:val="24"/>
          <w:szCs w:val="24"/>
        </w:rPr>
      </w:pPr>
    </w:p>
    <w:sectPr w:rsidR="005037F4" w:rsidRPr="00F80BEE" w:rsidSect="009D6A45">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7C04" w:rsidRDefault="00997C04" w:rsidP="009D6A45">
      <w:pPr>
        <w:spacing w:after="0" w:line="240" w:lineRule="auto"/>
      </w:pPr>
      <w:r>
        <w:separator/>
      </w:r>
    </w:p>
  </w:endnote>
  <w:endnote w:type="continuationSeparator" w:id="1">
    <w:p w:rsidR="00997C04" w:rsidRDefault="00997C04" w:rsidP="009D6A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7C04" w:rsidRDefault="00997C04" w:rsidP="009D6A45">
      <w:pPr>
        <w:spacing w:after="0" w:line="240" w:lineRule="auto"/>
      </w:pPr>
      <w:r>
        <w:separator/>
      </w:r>
    </w:p>
  </w:footnote>
  <w:footnote w:type="continuationSeparator" w:id="1">
    <w:p w:rsidR="00997C04" w:rsidRDefault="00997C04" w:rsidP="009D6A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2094907"/>
      <w:docPartObj>
        <w:docPartGallery w:val="Page Numbers (Top of Page)"/>
        <w:docPartUnique/>
      </w:docPartObj>
    </w:sdtPr>
    <w:sdtEndPr>
      <w:rPr>
        <w:rFonts w:ascii="Times New Roman" w:hAnsi="Times New Roman" w:cs="Times New Roman"/>
        <w:noProof/>
        <w:sz w:val="24"/>
        <w:szCs w:val="24"/>
      </w:rPr>
    </w:sdtEndPr>
    <w:sdtContent>
      <w:p w:rsidR="00F80BEE" w:rsidRPr="00F80BEE" w:rsidRDefault="002E30BC">
        <w:pPr>
          <w:pStyle w:val="Header"/>
          <w:jc w:val="right"/>
          <w:rPr>
            <w:rFonts w:ascii="Times New Roman" w:hAnsi="Times New Roman" w:cs="Times New Roman"/>
            <w:sz w:val="24"/>
            <w:szCs w:val="24"/>
          </w:rPr>
        </w:pPr>
        <w:r w:rsidRPr="00F80BEE">
          <w:rPr>
            <w:rFonts w:ascii="Times New Roman" w:hAnsi="Times New Roman" w:cs="Times New Roman"/>
            <w:sz w:val="24"/>
            <w:szCs w:val="24"/>
          </w:rPr>
          <w:fldChar w:fldCharType="begin"/>
        </w:r>
        <w:r w:rsidR="00F559FA" w:rsidRPr="00F80BEE">
          <w:rPr>
            <w:rFonts w:ascii="Times New Roman" w:hAnsi="Times New Roman" w:cs="Times New Roman"/>
            <w:sz w:val="24"/>
            <w:szCs w:val="24"/>
          </w:rPr>
          <w:instrText xml:space="preserve"> PAGE   \* MERGEFORMAT </w:instrText>
        </w:r>
        <w:r w:rsidRPr="00F80BEE">
          <w:rPr>
            <w:rFonts w:ascii="Times New Roman" w:hAnsi="Times New Roman" w:cs="Times New Roman"/>
            <w:sz w:val="24"/>
            <w:szCs w:val="24"/>
          </w:rPr>
          <w:fldChar w:fldCharType="separate"/>
        </w:r>
        <w:r w:rsidR="00373278">
          <w:rPr>
            <w:rFonts w:ascii="Times New Roman" w:hAnsi="Times New Roman" w:cs="Times New Roman"/>
            <w:noProof/>
            <w:sz w:val="24"/>
            <w:szCs w:val="24"/>
          </w:rPr>
          <w:t>1</w:t>
        </w:r>
        <w:r w:rsidRPr="00F80BEE">
          <w:rPr>
            <w:rFonts w:ascii="Times New Roman" w:hAnsi="Times New Roman" w:cs="Times New Roman"/>
            <w:noProof/>
            <w:sz w:val="24"/>
            <w:szCs w:val="24"/>
          </w:rPr>
          <w:fldChar w:fldCharType="end"/>
        </w:r>
      </w:p>
    </w:sdtContent>
  </w:sdt>
  <w:p w:rsidR="00F80BEE" w:rsidRDefault="00F80BE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16994"/>
    <w:multiLevelType w:val="hybridMultilevel"/>
    <w:tmpl w:val="FA0ADF2A"/>
    <w:lvl w:ilvl="0" w:tplc="B5A4DE44">
      <w:start w:val="1"/>
      <w:numFmt w:val="decimal"/>
      <w:lvlText w:val="%1."/>
      <w:lvlJc w:val="left"/>
      <w:pPr>
        <w:ind w:left="720" w:hanging="360"/>
      </w:pPr>
      <w:rPr>
        <w:rFonts w:hint="default"/>
      </w:rPr>
    </w:lvl>
    <w:lvl w:ilvl="1" w:tplc="5914A512" w:tentative="1">
      <w:start w:val="1"/>
      <w:numFmt w:val="lowerLetter"/>
      <w:lvlText w:val="%2."/>
      <w:lvlJc w:val="left"/>
      <w:pPr>
        <w:ind w:left="1440" w:hanging="360"/>
      </w:pPr>
    </w:lvl>
    <w:lvl w:ilvl="2" w:tplc="2F9261F8" w:tentative="1">
      <w:start w:val="1"/>
      <w:numFmt w:val="lowerRoman"/>
      <w:lvlText w:val="%3."/>
      <w:lvlJc w:val="right"/>
      <w:pPr>
        <w:ind w:left="2160" w:hanging="180"/>
      </w:pPr>
    </w:lvl>
    <w:lvl w:ilvl="3" w:tplc="FDCE826C" w:tentative="1">
      <w:start w:val="1"/>
      <w:numFmt w:val="decimal"/>
      <w:lvlText w:val="%4."/>
      <w:lvlJc w:val="left"/>
      <w:pPr>
        <w:ind w:left="2880" w:hanging="360"/>
      </w:pPr>
    </w:lvl>
    <w:lvl w:ilvl="4" w:tplc="E07EFBBA" w:tentative="1">
      <w:start w:val="1"/>
      <w:numFmt w:val="lowerLetter"/>
      <w:lvlText w:val="%5."/>
      <w:lvlJc w:val="left"/>
      <w:pPr>
        <w:ind w:left="3600" w:hanging="360"/>
      </w:pPr>
    </w:lvl>
    <w:lvl w:ilvl="5" w:tplc="ABEAA2F0" w:tentative="1">
      <w:start w:val="1"/>
      <w:numFmt w:val="lowerRoman"/>
      <w:lvlText w:val="%6."/>
      <w:lvlJc w:val="right"/>
      <w:pPr>
        <w:ind w:left="4320" w:hanging="180"/>
      </w:pPr>
    </w:lvl>
    <w:lvl w:ilvl="6" w:tplc="64A0A3F4" w:tentative="1">
      <w:start w:val="1"/>
      <w:numFmt w:val="decimal"/>
      <w:lvlText w:val="%7."/>
      <w:lvlJc w:val="left"/>
      <w:pPr>
        <w:ind w:left="5040" w:hanging="360"/>
      </w:pPr>
    </w:lvl>
    <w:lvl w:ilvl="7" w:tplc="75442D64" w:tentative="1">
      <w:start w:val="1"/>
      <w:numFmt w:val="lowerLetter"/>
      <w:lvlText w:val="%8."/>
      <w:lvlJc w:val="left"/>
      <w:pPr>
        <w:ind w:left="5760" w:hanging="360"/>
      </w:pPr>
    </w:lvl>
    <w:lvl w:ilvl="8" w:tplc="D2024668" w:tentative="1">
      <w:start w:val="1"/>
      <w:numFmt w:val="lowerRoman"/>
      <w:lvlText w:val="%9."/>
      <w:lvlJc w:val="right"/>
      <w:pPr>
        <w:ind w:left="6480" w:hanging="180"/>
      </w:pPr>
    </w:lvl>
  </w:abstractNum>
  <w:abstractNum w:abstractNumId="1">
    <w:nsid w:val="254C0F51"/>
    <w:multiLevelType w:val="hybridMultilevel"/>
    <w:tmpl w:val="8530F6F8"/>
    <w:lvl w:ilvl="0" w:tplc="451E26FC">
      <w:start w:val="1"/>
      <w:numFmt w:val="decimal"/>
      <w:lvlText w:val="%1."/>
      <w:lvlJc w:val="left"/>
      <w:pPr>
        <w:ind w:left="720" w:hanging="360"/>
      </w:pPr>
      <w:rPr>
        <w:rFonts w:hint="default"/>
      </w:rPr>
    </w:lvl>
    <w:lvl w:ilvl="1" w:tplc="1A603106" w:tentative="1">
      <w:start w:val="1"/>
      <w:numFmt w:val="lowerLetter"/>
      <w:lvlText w:val="%2."/>
      <w:lvlJc w:val="left"/>
      <w:pPr>
        <w:ind w:left="1440" w:hanging="360"/>
      </w:pPr>
    </w:lvl>
    <w:lvl w:ilvl="2" w:tplc="3B2C971A" w:tentative="1">
      <w:start w:val="1"/>
      <w:numFmt w:val="lowerRoman"/>
      <w:lvlText w:val="%3."/>
      <w:lvlJc w:val="right"/>
      <w:pPr>
        <w:ind w:left="2160" w:hanging="180"/>
      </w:pPr>
    </w:lvl>
    <w:lvl w:ilvl="3" w:tplc="5C92DB56" w:tentative="1">
      <w:start w:val="1"/>
      <w:numFmt w:val="decimal"/>
      <w:lvlText w:val="%4."/>
      <w:lvlJc w:val="left"/>
      <w:pPr>
        <w:ind w:left="2880" w:hanging="360"/>
      </w:pPr>
    </w:lvl>
    <w:lvl w:ilvl="4" w:tplc="06C86E32" w:tentative="1">
      <w:start w:val="1"/>
      <w:numFmt w:val="lowerLetter"/>
      <w:lvlText w:val="%5."/>
      <w:lvlJc w:val="left"/>
      <w:pPr>
        <w:ind w:left="3600" w:hanging="360"/>
      </w:pPr>
    </w:lvl>
    <w:lvl w:ilvl="5" w:tplc="D1C04CD0" w:tentative="1">
      <w:start w:val="1"/>
      <w:numFmt w:val="lowerRoman"/>
      <w:lvlText w:val="%6."/>
      <w:lvlJc w:val="right"/>
      <w:pPr>
        <w:ind w:left="4320" w:hanging="180"/>
      </w:pPr>
    </w:lvl>
    <w:lvl w:ilvl="6" w:tplc="3BB62CF6" w:tentative="1">
      <w:start w:val="1"/>
      <w:numFmt w:val="decimal"/>
      <w:lvlText w:val="%7."/>
      <w:lvlJc w:val="left"/>
      <w:pPr>
        <w:ind w:left="5040" w:hanging="360"/>
      </w:pPr>
    </w:lvl>
    <w:lvl w:ilvl="7" w:tplc="41A6EBAA" w:tentative="1">
      <w:start w:val="1"/>
      <w:numFmt w:val="lowerLetter"/>
      <w:lvlText w:val="%8."/>
      <w:lvlJc w:val="left"/>
      <w:pPr>
        <w:ind w:left="5760" w:hanging="360"/>
      </w:pPr>
    </w:lvl>
    <w:lvl w:ilvl="8" w:tplc="7A98794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D673D"/>
    <w:rsid w:val="000836D7"/>
    <w:rsid w:val="002E30BC"/>
    <w:rsid w:val="00373278"/>
    <w:rsid w:val="005037F4"/>
    <w:rsid w:val="0054688C"/>
    <w:rsid w:val="00556029"/>
    <w:rsid w:val="00566AA6"/>
    <w:rsid w:val="00570345"/>
    <w:rsid w:val="005B007D"/>
    <w:rsid w:val="005D5E5A"/>
    <w:rsid w:val="007817D0"/>
    <w:rsid w:val="0086046A"/>
    <w:rsid w:val="0090436E"/>
    <w:rsid w:val="00997C04"/>
    <w:rsid w:val="009D6A45"/>
    <w:rsid w:val="00A34CA6"/>
    <w:rsid w:val="00AD673D"/>
    <w:rsid w:val="00B7258A"/>
    <w:rsid w:val="00C3419C"/>
    <w:rsid w:val="00C62EDB"/>
    <w:rsid w:val="00C703B1"/>
    <w:rsid w:val="00CB16D5"/>
    <w:rsid w:val="00CC5675"/>
    <w:rsid w:val="00CD2E6D"/>
    <w:rsid w:val="00D271C3"/>
    <w:rsid w:val="00DF728C"/>
    <w:rsid w:val="00E01FA4"/>
    <w:rsid w:val="00EF6B16"/>
    <w:rsid w:val="00F308B7"/>
    <w:rsid w:val="00F45A9C"/>
    <w:rsid w:val="00F559FA"/>
    <w:rsid w:val="00F80B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A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36E"/>
    <w:pPr>
      <w:ind w:left="720"/>
      <w:contextualSpacing/>
    </w:pPr>
  </w:style>
  <w:style w:type="character" w:styleId="Hyperlink">
    <w:name w:val="Hyperlink"/>
    <w:basedOn w:val="DefaultParagraphFont"/>
    <w:uiPriority w:val="99"/>
    <w:unhideWhenUsed/>
    <w:rsid w:val="005037F4"/>
    <w:rPr>
      <w:color w:val="0563C1" w:themeColor="hyperlink"/>
      <w:u w:val="single"/>
    </w:rPr>
  </w:style>
  <w:style w:type="paragraph" w:styleId="Header">
    <w:name w:val="header"/>
    <w:basedOn w:val="Normal"/>
    <w:link w:val="HeaderChar"/>
    <w:uiPriority w:val="99"/>
    <w:unhideWhenUsed/>
    <w:rsid w:val="00F80B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BEE"/>
  </w:style>
  <w:style w:type="paragraph" w:styleId="Footer">
    <w:name w:val="footer"/>
    <w:basedOn w:val="Normal"/>
    <w:link w:val="FooterChar"/>
    <w:uiPriority w:val="99"/>
    <w:unhideWhenUsed/>
    <w:rsid w:val="00F80B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B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955-018-1018-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2688/f1000research.8105.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186/s13063-016-1637-1" TargetMode="External"/><Relationship Id="rId4" Type="http://schemas.openxmlformats.org/officeDocument/2006/relationships/webSettings" Target="webSettings.xml"/><Relationship Id="rId9" Type="http://schemas.openxmlformats.org/officeDocument/2006/relationships/hyperlink" Target="https://doi.org/10.1136/bmjopen-2017-019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2154</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2020-11-04T21:08:00Z</dcterms:created>
  <dcterms:modified xsi:type="dcterms:W3CDTF">2020-11-04T21:08:00Z</dcterms:modified>
</cp:coreProperties>
</file>